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AE23" w14:textId="77777777" w:rsidR="00143C1C" w:rsidRPr="00E54564" w:rsidRDefault="00614B1C" w:rsidP="00E54564">
      <w:pPr>
        <w:jc w:val="center"/>
        <w:rPr>
          <w:b/>
          <w:sz w:val="28"/>
          <w:szCs w:val="28"/>
        </w:rPr>
      </w:pPr>
      <w:r>
        <w:rPr>
          <w:b/>
          <w:sz w:val="28"/>
          <w:szCs w:val="28"/>
        </w:rPr>
        <w:t xml:space="preserve">Candriam Asset Allocatie Outlook H2 2017: op zoek naar stabiliteit </w:t>
      </w:r>
      <w:r w:rsidR="00E54564">
        <w:rPr>
          <w:b/>
          <w:sz w:val="28"/>
          <w:szCs w:val="28"/>
        </w:rPr>
        <w:t xml:space="preserve"> </w:t>
      </w:r>
    </w:p>
    <w:p w14:paraId="2F033FCC" w14:textId="77777777" w:rsidR="007638C3" w:rsidRDefault="00614B1C" w:rsidP="007638C3">
      <w:pPr>
        <w:pStyle w:val="Lijstalinea"/>
        <w:ind w:left="0"/>
        <w:jc w:val="both"/>
        <w:rPr>
          <w:rFonts w:asciiTheme="minorHAnsi" w:hAnsiTheme="minorHAnsi" w:cstheme="minorBidi"/>
          <w:i/>
          <w:lang w:val="en-US" w:eastAsia="en-US"/>
        </w:rPr>
      </w:pPr>
      <w:r w:rsidRPr="00614B1C">
        <w:rPr>
          <w:rFonts w:asciiTheme="minorHAnsi" w:hAnsiTheme="minorHAnsi" w:cstheme="minorBidi"/>
          <w:i/>
          <w:lang w:val="en-US" w:eastAsia="en-US"/>
        </w:rPr>
        <w:t xml:space="preserve">Door </w:t>
      </w:r>
      <w:proofErr w:type="spellStart"/>
      <w:r w:rsidRPr="00614B1C">
        <w:rPr>
          <w:rFonts w:asciiTheme="minorHAnsi" w:hAnsiTheme="minorHAnsi" w:cstheme="minorBidi"/>
          <w:i/>
          <w:lang w:val="en-US" w:eastAsia="en-US"/>
        </w:rPr>
        <w:t>Nadège</w:t>
      </w:r>
      <w:proofErr w:type="spellEnd"/>
      <w:r w:rsidRPr="00614B1C">
        <w:rPr>
          <w:rFonts w:asciiTheme="minorHAnsi" w:hAnsiTheme="minorHAnsi" w:cstheme="minorBidi"/>
          <w:i/>
          <w:lang w:val="en-US" w:eastAsia="en-US"/>
        </w:rPr>
        <w:t xml:space="preserve"> </w:t>
      </w:r>
      <w:proofErr w:type="spellStart"/>
      <w:r w:rsidRPr="00614B1C">
        <w:rPr>
          <w:rFonts w:asciiTheme="minorHAnsi" w:hAnsiTheme="minorHAnsi" w:cstheme="minorBidi"/>
          <w:i/>
          <w:lang w:val="en-US" w:eastAsia="en-US"/>
        </w:rPr>
        <w:t>Dufossé</w:t>
      </w:r>
      <w:proofErr w:type="spellEnd"/>
      <w:r w:rsidRPr="00614B1C">
        <w:rPr>
          <w:rFonts w:asciiTheme="minorHAnsi" w:hAnsiTheme="minorHAnsi" w:cstheme="minorBidi"/>
          <w:i/>
          <w:lang w:val="en-US" w:eastAsia="en-US"/>
        </w:rPr>
        <w:t>, Head of Asset Allocation Candriam Investors Group</w:t>
      </w:r>
    </w:p>
    <w:p w14:paraId="2AB33FBD" w14:textId="77777777" w:rsidR="00614B1C" w:rsidRDefault="00614B1C" w:rsidP="007638C3">
      <w:pPr>
        <w:pStyle w:val="Lijstalinea"/>
        <w:ind w:left="0"/>
        <w:jc w:val="both"/>
        <w:rPr>
          <w:rFonts w:asciiTheme="minorHAnsi" w:hAnsiTheme="minorHAnsi" w:cstheme="minorBidi"/>
          <w:i/>
          <w:lang w:val="en-US" w:eastAsia="en-US"/>
        </w:rPr>
      </w:pPr>
    </w:p>
    <w:p w14:paraId="39A10C34" w14:textId="77777777" w:rsidR="00614B1C" w:rsidRPr="00614B1C" w:rsidRDefault="00614B1C" w:rsidP="00614B1C">
      <w:pPr>
        <w:pStyle w:val="Lijstalinea"/>
        <w:ind w:left="0"/>
        <w:jc w:val="center"/>
        <w:rPr>
          <w:rFonts w:asciiTheme="minorHAnsi" w:hAnsiTheme="minorHAnsi" w:cstheme="minorBidi"/>
          <w:b/>
          <w:sz w:val="28"/>
          <w:szCs w:val="28"/>
          <w:lang w:val="en-US" w:eastAsia="en-US"/>
        </w:rPr>
      </w:pPr>
      <w:proofErr w:type="spellStart"/>
      <w:r w:rsidRPr="00614B1C">
        <w:rPr>
          <w:rFonts w:asciiTheme="minorHAnsi" w:hAnsiTheme="minorHAnsi" w:cstheme="minorBidi"/>
          <w:b/>
          <w:sz w:val="28"/>
          <w:szCs w:val="28"/>
          <w:lang w:val="en-US" w:eastAsia="en-US"/>
        </w:rPr>
        <w:t>Hoofdpunten</w:t>
      </w:r>
      <w:proofErr w:type="spellEnd"/>
      <w:r w:rsidRPr="00614B1C">
        <w:rPr>
          <w:rFonts w:asciiTheme="minorHAnsi" w:hAnsiTheme="minorHAnsi" w:cstheme="minorBidi"/>
          <w:b/>
          <w:sz w:val="28"/>
          <w:szCs w:val="28"/>
          <w:lang w:val="en-US" w:eastAsia="en-US"/>
        </w:rPr>
        <w:t xml:space="preserve"> Outlook H2 2017</w:t>
      </w:r>
    </w:p>
    <w:p w14:paraId="725DF8DC" w14:textId="77777777" w:rsidR="00614B1C" w:rsidRDefault="00614B1C" w:rsidP="007638C3">
      <w:pPr>
        <w:pStyle w:val="Lijstalinea"/>
        <w:ind w:left="0"/>
        <w:jc w:val="both"/>
        <w:rPr>
          <w:rFonts w:asciiTheme="minorHAnsi" w:hAnsiTheme="minorHAnsi" w:cstheme="minorBidi"/>
          <w:i/>
          <w:lang w:val="en-US" w:eastAsia="en-US"/>
        </w:rPr>
      </w:pPr>
    </w:p>
    <w:p w14:paraId="1A210530" w14:textId="77777777" w:rsidR="00614B1C" w:rsidRDefault="008162A0" w:rsidP="00614B1C">
      <w:pPr>
        <w:pStyle w:val="Lijstalinea"/>
        <w:numPr>
          <w:ilvl w:val="0"/>
          <w:numId w:val="11"/>
        </w:numPr>
        <w:jc w:val="both"/>
      </w:pPr>
      <w:r>
        <w:t xml:space="preserve">Candriam blijft strategisch overwogen in aandelen en houdt een korte duratie en onderweging in obligaties aan in de tweede helft van 2017. Het </w:t>
      </w:r>
      <w:r w:rsidR="007638C3">
        <w:t>vertrouwen in de duurzaamheid van de w</w:t>
      </w:r>
      <w:r w:rsidR="00901A34">
        <w:t>ereldwijde groei en een meer ag</w:t>
      </w:r>
      <w:r w:rsidR="007638C3">
        <w:t xml:space="preserve">ressief beleid van de centrale banken </w:t>
      </w:r>
      <w:r w:rsidR="009066E6">
        <w:t xml:space="preserve">in </w:t>
      </w:r>
      <w:r w:rsidR="007638C3">
        <w:t xml:space="preserve">de komende kwartalen </w:t>
      </w:r>
      <w:r w:rsidR="00614B1C">
        <w:t>vormen de leidraad voor deze</w:t>
      </w:r>
      <w:r>
        <w:t xml:space="preserve"> positionering</w:t>
      </w:r>
      <w:r w:rsidR="007638C3">
        <w:t xml:space="preserve">. </w:t>
      </w:r>
    </w:p>
    <w:p w14:paraId="7FD0C040" w14:textId="77777777" w:rsidR="00614B1C" w:rsidRDefault="00614B1C" w:rsidP="007638C3">
      <w:pPr>
        <w:pStyle w:val="Lijstalinea"/>
        <w:ind w:left="0"/>
        <w:jc w:val="both"/>
      </w:pPr>
    </w:p>
    <w:p w14:paraId="066C51D6" w14:textId="77777777" w:rsidR="00614B1C" w:rsidRDefault="00614B1C" w:rsidP="00614B1C">
      <w:pPr>
        <w:pStyle w:val="Lijstalinea"/>
        <w:numPr>
          <w:ilvl w:val="0"/>
          <w:numId w:val="11"/>
        </w:numPr>
        <w:jc w:val="both"/>
      </w:pPr>
      <w:r>
        <w:t>Een bovengemiddelde</w:t>
      </w:r>
      <w:r w:rsidR="007638C3">
        <w:t xml:space="preserve"> groei tijdens de tweede helft van het jaar zal leiden </w:t>
      </w:r>
      <w:r w:rsidR="009066E6">
        <w:t>t</w:t>
      </w:r>
      <w:r w:rsidR="007638C3">
        <w:t xml:space="preserve">ot duurzame winstgroei. Onze sterkste regionale overtuiging is een overweging in </w:t>
      </w:r>
      <w:r w:rsidR="009066E6">
        <w:t>eurozone-</w:t>
      </w:r>
      <w:r w:rsidR="007638C3">
        <w:t>aandelen</w:t>
      </w:r>
      <w:r w:rsidR="009066E6">
        <w:t>, die ondersteund</w:t>
      </w:r>
      <w:r w:rsidR="007638C3">
        <w:t xml:space="preserve"> worden </w:t>
      </w:r>
      <w:r w:rsidR="009066E6">
        <w:t xml:space="preserve">door een </w:t>
      </w:r>
      <w:r w:rsidR="007638C3">
        <w:t>ruimere groei binnen de hele regio</w:t>
      </w:r>
      <w:r w:rsidR="009066E6">
        <w:t xml:space="preserve"> en een daling van het desintegratierisico van de Europese Unie, met een sterke vertrouwensboost tot gevolg.</w:t>
      </w:r>
      <w:r>
        <w:t xml:space="preserve"> Wij hebben onze winstverwachtingen voor de Eurozone-aandelen verhoogd. </w:t>
      </w:r>
    </w:p>
    <w:p w14:paraId="048C3884" w14:textId="77777777" w:rsidR="00614B1C" w:rsidRDefault="00614B1C" w:rsidP="007638C3">
      <w:pPr>
        <w:pStyle w:val="Lijstalinea"/>
        <w:ind w:left="0"/>
        <w:jc w:val="both"/>
      </w:pPr>
    </w:p>
    <w:p w14:paraId="1260D528" w14:textId="77777777" w:rsidR="00614B1C" w:rsidRDefault="00614B1C" w:rsidP="00614B1C">
      <w:pPr>
        <w:pStyle w:val="Lijstalinea"/>
        <w:numPr>
          <w:ilvl w:val="0"/>
          <w:numId w:val="11"/>
        </w:numPr>
        <w:jc w:val="both"/>
      </w:pPr>
      <w:r>
        <w:t>Wat de start van de Brexit-onderhandelingen betreft, verwacht Candriam dat het economisch verlies voor het Verenigd Koninkrijk aanzienlijk groter zal zijn dan voor de andere 27 landen van de EU.</w:t>
      </w:r>
    </w:p>
    <w:p w14:paraId="27DE11A9" w14:textId="77777777" w:rsidR="00614B1C" w:rsidRDefault="00614B1C" w:rsidP="007638C3">
      <w:pPr>
        <w:pStyle w:val="Lijstalinea"/>
        <w:ind w:left="0"/>
        <w:jc w:val="both"/>
      </w:pPr>
    </w:p>
    <w:p w14:paraId="0D5847BB" w14:textId="77777777" w:rsidR="00614B1C" w:rsidRDefault="007638C3" w:rsidP="00614B1C">
      <w:pPr>
        <w:pStyle w:val="Lijstalinea"/>
        <w:numPr>
          <w:ilvl w:val="0"/>
          <w:numId w:val="11"/>
        </w:numPr>
        <w:jc w:val="both"/>
      </w:pPr>
      <w:r>
        <w:t xml:space="preserve">In de VS zal de groei naar verwachting op een gematigd tempo aanhouden, </w:t>
      </w:r>
      <w:r w:rsidR="009066E6">
        <w:t xml:space="preserve">al is </w:t>
      </w:r>
      <w:r>
        <w:t>de nieuwe Amerikaanse rege</w:t>
      </w:r>
      <w:bookmarkStart w:id="0" w:name="_GoBack"/>
      <w:bookmarkEnd w:id="0"/>
      <w:r>
        <w:t xml:space="preserve">ring er tot </w:t>
      </w:r>
      <w:r w:rsidR="009066E6">
        <w:t xml:space="preserve">nog </w:t>
      </w:r>
      <w:r>
        <w:t>toe niet in geslaagd om de politieke afstemming tussen de President en het Congres te benutten.</w:t>
      </w:r>
      <w:r w:rsidR="00614B1C">
        <w:t xml:space="preserve"> </w:t>
      </w:r>
      <w:r w:rsidR="00614B1C">
        <w:t xml:space="preserve">Bij een actuele waardering van 18x de verwachte winst lijken de Amerikaanse markten </w:t>
      </w:r>
      <w:r w:rsidR="00614B1C">
        <w:t xml:space="preserve">echter </w:t>
      </w:r>
      <w:r w:rsidR="00614B1C">
        <w:t>de duurste regio op grond van winstgroei met 1 cijfer.</w:t>
      </w:r>
    </w:p>
    <w:p w14:paraId="0EC4816A" w14:textId="77777777" w:rsidR="007638C3" w:rsidRDefault="007638C3" w:rsidP="007638C3">
      <w:pPr>
        <w:pStyle w:val="Lijstalinea"/>
        <w:ind w:left="0"/>
        <w:jc w:val="both"/>
      </w:pPr>
    </w:p>
    <w:p w14:paraId="23A586FE" w14:textId="77777777" w:rsidR="00614B1C" w:rsidRDefault="007638C3" w:rsidP="00614B1C">
      <w:pPr>
        <w:pStyle w:val="Lijstalinea"/>
        <w:numPr>
          <w:ilvl w:val="0"/>
          <w:numId w:val="11"/>
        </w:numPr>
        <w:jc w:val="both"/>
      </w:pPr>
      <w:r>
        <w:t xml:space="preserve">Er zijn zowel opwaartse als neerwaartse risico's gekoppeld aan onze </w:t>
      </w:r>
      <w:r w:rsidR="000D4E34">
        <w:t>assetallocatie</w:t>
      </w:r>
      <w:r>
        <w:t xml:space="preserve">verwachtingen. </w:t>
      </w:r>
      <w:r w:rsidR="000D4E34">
        <w:t xml:space="preserve">Een </w:t>
      </w:r>
      <w:r>
        <w:t xml:space="preserve">van de neerwaartse risico's is </w:t>
      </w:r>
      <w:r w:rsidR="000D4E34">
        <w:t xml:space="preserve">een mogelijk ontsporing van de huidige economische expansie </w:t>
      </w:r>
      <w:r>
        <w:t xml:space="preserve">door een foutief monetair beleid (d.w.z. te ingrijpende, te snelle inkrimping) </w:t>
      </w:r>
      <w:r w:rsidR="000D4E34">
        <w:t xml:space="preserve">van zowel de Fed </w:t>
      </w:r>
      <w:r w:rsidR="00C94953">
        <w:t>als</w:t>
      </w:r>
      <w:r w:rsidR="000D4E34">
        <w:t xml:space="preserve"> de ECB</w:t>
      </w:r>
      <w:r>
        <w:t xml:space="preserve">. </w:t>
      </w:r>
      <w:r w:rsidR="000D4E34">
        <w:t>Daarbovenop zouden e</w:t>
      </w:r>
      <w:r>
        <w:t xml:space="preserve">en onverwachte verslechtering </w:t>
      </w:r>
      <w:r w:rsidR="000D4E34">
        <w:t xml:space="preserve">door het </w:t>
      </w:r>
      <w:r>
        <w:t xml:space="preserve">Chinees </w:t>
      </w:r>
      <w:r w:rsidR="000D4E34">
        <w:t xml:space="preserve">stop-and-gobeleid </w:t>
      </w:r>
      <w:r w:rsidR="0013086D">
        <w:t xml:space="preserve">of de aftrap </w:t>
      </w:r>
      <w:r>
        <w:t>van de Brexit</w:t>
      </w:r>
      <w:r w:rsidR="000D4E34">
        <w:t>-</w:t>
      </w:r>
      <w:r>
        <w:t xml:space="preserve">onderhandelingen een negatieve weerslag hebben op de grondstoffenmarkten. </w:t>
      </w:r>
    </w:p>
    <w:p w14:paraId="20387CB1" w14:textId="77777777" w:rsidR="00614B1C" w:rsidRDefault="00614B1C" w:rsidP="007638C3">
      <w:pPr>
        <w:pStyle w:val="Lijstalinea"/>
        <w:ind w:left="0"/>
        <w:jc w:val="both"/>
      </w:pPr>
    </w:p>
    <w:p w14:paraId="3214518B" w14:textId="77777777" w:rsidR="007638C3" w:rsidRDefault="007638C3" w:rsidP="00614B1C">
      <w:pPr>
        <w:pStyle w:val="Lijstalinea"/>
        <w:numPr>
          <w:ilvl w:val="0"/>
          <w:numId w:val="11"/>
        </w:numPr>
        <w:jc w:val="both"/>
      </w:pPr>
      <w:r>
        <w:t>Bij de opwaartse risico's zien we een versnelling van de Europese integratieagenda of een vlotte en tijdige implementatie van fiscale stimulansen, belastingverlagingen en versoepeling van de regelgeving in de VS.</w:t>
      </w:r>
    </w:p>
    <w:p w14:paraId="508900A9" w14:textId="77777777" w:rsidR="002E64AF" w:rsidRDefault="002E64AF" w:rsidP="00F5579C">
      <w:pPr>
        <w:pStyle w:val="Lijstalinea"/>
        <w:ind w:left="0"/>
        <w:jc w:val="both"/>
      </w:pPr>
    </w:p>
    <w:p w14:paraId="32EB31F5" w14:textId="77777777" w:rsidR="002D0ED2" w:rsidRDefault="00F5579C" w:rsidP="00F5579C">
      <w:pPr>
        <w:pStyle w:val="Lijstalinea"/>
        <w:ind w:left="0"/>
        <w:jc w:val="both"/>
        <w:rPr>
          <w:b/>
          <w:sz w:val="24"/>
          <w:szCs w:val="24"/>
        </w:rPr>
      </w:pPr>
      <w:r>
        <w:rPr>
          <w:b/>
          <w:sz w:val="24"/>
          <w:szCs w:val="24"/>
        </w:rPr>
        <w:t>De sterren staan goed voor de eurozone</w:t>
      </w:r>
    </w:p>
    <w:p w14:paraId="03E84053" w14:textId="77777777" w:rsidR="00E54564" w:rsidRPr="00E54564" w:rsidRDefault="00E54564" w:rsidP="00F5579C">
      <w:pPr>
        <w:pStyle w:val="Lijstalinea"/>
        <w:ind w:left="0"/>
        <w:jc w:val="both"/>
      </w:pPr>
    </w:p>
    <w:p w14:paraId="7FF86C17" w14:textId="77777777" w:rsidR="00D22B4E" w:rsidRDefault="00BA1135" w:rsidP="00E54564">
      <w:pPr>
        <w:pStyle w:val="Lijstalinea"/>
        <w:ind w:left="0"/>
        <w:jc w:val="both"/>
      </w:pPr>
      <w:r>
        <w:t xml:space="preserve">Beleggers beginnen de eurozone </w:t>
      </w:r>
      <w:r w:rsidR="005A41A5">
        <w:t xml:space="preserve">opnieuw </w:t>
      </w:r>
      <w:r>
        <w:t xml:space="preserve">te ontdekken nu de politieke risico's verschoven zijn van Europa naar de VS. De Franse verkiezingen vallen samen met het begin van een scherpe daling van de politieke risicopremie op Europese aandelen. We zijn van mening dat de grootste onzekerheid rond het </w:t>
      </w:r>
      <w:r w:rsidR="0004309F">
        <w:t xml:space="preserve">Europees </w:t>
      </w:r>
      <w:r>
        <w:t>beleid achter de rug is</w:t>
      </w:r>
      <w:r w:rsidR="0013086D">
        <w:t>. Het dreigende</w:t>
      </w:r>
      <w:r w:rsidR="0004309F">
        <w:t xml:space="preserve"> </w:t>
      </w:r>
      <w:r>
        <w:t>Italiaans</w:t>
      </w:r>
      <w:r w:rsidR="000261CE">
        <w:t>e</w:t>
      </w:r>
      <w:r>
        <w:t xml:space="preserve"> risico </w:t>
      </w:r>
      <w:r w:rsidR="0004309F">
        <w:t xml:space="preserve">lijkt </w:t>
      </w:r>
      <w:r>
        <w:t xml:space="preserve">beheersbaar en </w:t>
      </w:r>
      <w:r w:rsidR="0004309F">
        <w:t xml:space="preserve">zal dit jaar </w:t>
      </w:r>
      <w:r>
        <w:t xml:space="preserve">wellicht sneller dan verwacht </w:t>
      </w:r>
      <w:r w:rsidR="0004309F">
        <w:t>van de radar verdwijnen</w:t>
      </w:r>
      <w:r>
        <w:t xml:space="preserve">. De integriteit van de eurozone lijkt momenteel duidelijk niet meer in gevaar te zijn. Bovendien zouden de Europese leiders kunnen streven naar een sterkere Europese integratie. </w:t>
      </w:r>
      <w:r w:rsidR="0004309F">
        <w:t xml:space="preserve">De uittekening </w:t>
      </w:r>
      <w:r>
        <w:t xml:space="preserve">van een stappenplan met een versterking van de interne markt, de </w:t>
      </w:r>
      <w:r>
        <w:lastRenderedPageBreak/>
        <w:t>financiële sector en de crisisrespons, in combinatie met een versterking van de buitengrenzen en stimulerende maatregelen</w:t>
      </w:r>
      <w:r w:rsidR="0004309F">
        <w:t>,</w:t>
      </w:r>
      <w:r>
        <w:t xml:space="preserve"> zou een nieuwe dynamiek binnen de EU op gang </w:t>
      </w:r>
      <w:r w:rsidR="000261CE">
        <w:t xml:space="preserve">kunnen </w:t>
      </w:r>
      <w:r>
        <w:t xml:space="preserve">brengen. </w:t>
      </w:r>
    </w:p>
    <w:p w14:paraId="7857BA8B" w14:textId="77777777" w:rsidR="00A215B0" w:rsidRDefault="00A215B0" w:rsidP="00F5579C">
      <w:pPr>
        <w:pStyle w:val="Lijstalinea"/>
        <w:ind w:left="0"/>
        <w:jc w:val="both"/>
      </w:pPr>
    </w:p>
    <w:p w14:paraId="589C6101" w14:textId="77777777" w:rsidR="00A215B0" w:rsidRDefault="006B0945" w:rsidP="00F5579C">
      <w:pPr>
        <w:pStyle w:val="Lijstalinea"/>
        <w:ind w:left="0"/>
        <w:jc w:val="both"/>
      </w:pPr>
      <w:r>
        <w:t xml:space="preserve">Het herstel binnen de eurozone is </w:t>
      </w:r>
      <w:r w:rsidR="0004309F">
        <w:t xml:space="preserve">intussen </w:t>
      </w:r>
      <w:r>
        <w:t xml:space="preserve">goed op weg en zal naar verwachting leiden tot een </w:t>
      </w:r>
      <w:r w:rsidR="0004309F">
        <w:t xml:space="preserve">hoger </w:t>
      </w:r>
      <w:r>
        <w:t xml:space="preserve">dan </w:t>
      </w:r>
      <w:r w:rsidR="00E57ED5">
        <w:t>gebruikelijke</w:t>
      </w:r>
      <w:r>
        <w:t xml:space="preserve"> groei in 2017-18. </w:t>
      </w:r>
      <w:r w:rsidR="0004309F">
        <w:t xml:space="preserve">Daarom </w:t>
      </w:r>
      <w:r>
        <w:t xml:space="preserve">hebben we onze winstverwachtingen </w:t>
      </w:r>
      <w:r w:rsidR="0004309F">
        <w:t xml:space="preserve">voor eurozone-aandelen, waarin we een overweging hebben, </w:t>
      </w:r>
      <w:r>
        <w:t>verhoogd</w:t>
      </w:r>
      <w:r w:rsidR="0004309F">
        <w:t xml:space="preserve">. </w:t>
      </w:r>
      <w:r>
        <w:t>Na de financiële crisis in 2008, de schuldencrisis van 2011 en d</w:t>
      </w:r>
      <w:r w:rsidR="00901A34">
        <w:t>e schokken door de grondstoffen</w:t>
      </w:r>
      <w:r>
        <w:t xml:space="preserve">/sterke dollar in 2014, die de deflatiedruk binnen de regio telkens verhoogden, zijn er nu een aantal gunstige factoren: </w:t>
      </w:r>
    </w:p>
    <w:p w14:paraId="02423C9B" w14:textId="77777777" w:rsidR="003F765A" w:rsidRDefault="003F765A" w:rsidP="00F5579C">
      <w:pPr>
        <w:pStyle w:val="Lijstalinea"/>
        <w:ind w:left="0"/>
        <w:jc w:val="both"/>
      </w:pPr>
    </w:p>
    <w:p w14:paraId="421BC699" w14:textId="77777777" w:rsidR="005B5ABE" w:rsidRDefault="005B5ABE" w:rsidP="005B5ABE">
      <w:pPr>
        <w:pStyle w:val="Lijstalinea"/>
        <w:numPr>
          <w:ilvl w:val="0"/>
          <w:numId w:val="10"/>
        </w:numPr>
        <w:jc w:val="both"/>
      </w:pPr>
      <w:r>
        <w:t xml:space="preserve">de Europese bedrijven </w:t>
      </w:r>
      <w:r w:rsidR="000F3BDE">
        <w:t xml:space="preserve">profiteren </w:t>
      </w:r>
      <w:r>
        <w:t xml:space="preserve">voor het eerst sinds de crisis </w:t>
      </w:r>
      <w:r w:rsidR="000F3BDE">
        <w:t xml:space="preserve">van opwaartse </w:t>
      </w:r>
      <w:r>
        <w:t>winstherzieningen. Het vooruitzicht van stijgende winst (</w:t>
      </w:r>
      <w:r w:rsidR="000F3BDE">
        <w:t>dubbelcijferige groei</w:t>
      </w:r>
      <w:r>
        <w:t xml:space="preserve">) gaat gepaard met een aantrekkelijke waardering in absolute en, belangrijker voor niet-ingezeten beleggers, in relatieve termen (15x </w:t>
      </w:r>
      <w:r w:rsidR="000F3BDE">
        <w:t>voor de komende twaalf maanden</w:t>
      </w:r>
      <w:r>
        <w:t xml:space="preserve"> tegenover 18x voor de Amerikaanse markt);</w:t>
      </w:r>
    </w:p>
    <w:p w14:paraId="3E9EAF94" w14:textId="77777777" w:rsidR="005B5ABE" w:rsidRDefault="005B5ABE" w:rsidP="005B5ABE">
      <w:pPr>
        <w:pStyle w:val="Lijstalinea"/>
        <w:numPr>
          <w:ilvl w:val="0"/>
          <w:numId w:val="10"/>
        </w:numPr>
        <w:jc w:val="both"/>
      </w:pPr>
      <w:r>
        <w:t xml:space="preserve">beleggers zijn net begonnen hun posities </w:t>
      </w:r>
      <w:r w:rsidR="00C67615">
        <w:t xml:space="preserve">in </w:t>
      </w:r>
      <w:r>
        <w:t>Europese aandelen</w:t>
      </w:r>
      <w:r w:rsidR="00C67615">
        <w:t xml:space="preserve"> op te trekken</w:t>
      </w:r>
      <w:r>
        <w:t xml:space="preserve">. De electorale schokken van 2016 en de daaraan gekoppelde stijging van de politieke risicopremie hebben </w:t>
      </w:r>
      <w:r w:rsidR="00C67615">
        <w:t xml:space="preserve">vorig jaar </w:t>
      </w:r>
      <w:r>
        <w:t>geleid tot aanzienlijke uitstromen. Er zou meer dan 80 miljard EUR aan instromen nodig zijn om de leegloop van vorig jaar goed te maken. We verwachten dat dit de komende maanden zal gebeuren;</w:t>
      </w:r>
    </w:p>
    <w:p w14:paraId="68C2A2FF" w14:textId="77777777" w:rsidR="00A7705E" w:rsidRDefault="005B5ABE" w:rsidP="00A7705E">
      <w:pPr>
        <w:pStyle w:val="Lijstalinea"/>
        <w:numPr>
          <w:ilvl w:val="0"/>
          <w:numId w:val="10"/>
        </w:numPr>
        <w:jc w:val="both"/>
      </w:pPr>
      <w:r>
        <w:t xml:space="preserve">omdat we ervan uitgaan dat de ECB haar belangrijkste herfinancieringsrente gedurende langere tijd op het huidige niveau zal handhaven, terwijl ze haar inkoopprogramma waarschijnlijk </w:t>
      </w:r>
      <w:r w:rsidR="003D2781">
        <w:t>zal afbouwen</w:t>
      </w:r>
      <w:r>
        <w:t xml:space="preserve">, zou de rentecurve steiler kunnen worden. De aankondigingen van afbouw door de ECB zullen naar verwachting een centraal thema worden tijdens de zomermaanden, in overeenstemming met de economisch sterke positie van de regio. De verbetering van de Europese economie zou ook het rendement binnen de EMU kunnen doen stijgen naarmate de politieke risico's afnemen. We verwachten dat de stijgende lonen de inflatie de hoogte zullen induwen, hoewel </w:t>
      </w:r>
      <w:r w:rsidR="003D2781">
        <w:t xml:space="preserve">dat </w:t>
      </w:r>
      <w:r>
        <w:t>langer duurt dan verwacht.</w:t>
      </w:r>
    </w:p>
    <w:p w14:paraId="0DF3EF80" w14:textId="77777777" w:rsidR="00A7705E" w:rsidRDefault="00A7705E" w:rsidP="003711E3">
      <w:pPr>
        <w:pStyle w:val="Lijstalinea"/>
        <w:ind w:left="0"/>
        <w:jc w:val="both"/>
      </w:pPr>
    </w:p>
    <w:p w14:paraId="6237B353" w14:textId="77777777" w:rsidR="005B5ABE" w:rsidRDefault="005B5ABE" w:rsidP="003711E3">
      <w:pPr>
        <w:pStyle w:val="Lijstalinea"/>
        <w:ind w:left="0"/>
        <w:jc w:val="both"/>
      </w:pPr>
      <w:r>
        <w:t xml:space="preserve">Wat aandelen betreft, zullen binnenlandse, </w:t>
      </w:r>
      <w:r w:rsidR="003D2781">
        <w:t xml:space="preserve">kleinere en middelgrote </w:t>
      </w:r>
      <w:r>
        <w:t xml:space="preserve">aandelen, financiële aandelen, cyclische aandelen en dividendaandelen naar verwachting het best </w:t>
      </w:r>
      <w:r w:rsidR="003D2781">
        <w:t>presteren</w:t>
      </w:r>
      <w:r>
        <w:t xml:space="preserve">. We verwachten dat de </w:t>
      </w:r>
      <w:r w:rsidR="003D2781">
        <w:t>eurozone-</w:t>
      </w:r>
      <w:r>
        <w:t>aandelenmarkt een rendement van meer dan 10</w:t>
      </w:r>
      <w:r w:rsidR="008162A0">
        <w:t xml:space="preserve"> %</w:t>
      </w:r>
      <w:r>
        <w:t xml:space="preserve"> zal opleveren gedurende de komende </w:t>
      </w:r>
      <w:r w:rsidR="003D2781">
        <w:t xml:space="preserve">twaalf </w:t>
      </w:r>
      <w:r>
        <w:t>maanden.</w:t>
      </w:r>
    </w:p>
    <w:p w14:paraId="0DE76F57" w14:textId="77777777" w:rsidR="003711E3" w:rsidRDefault="003711E3" w:rsidP="003711E3">
      <w:pPr>
        <w:pStyle w:val="Lijstalinea"/>
        <w:ind w:left="0"/>
        <w:jc w:val="both"/>
      </w:pPr>
    </w:p>
    <w:p w14:paraId="02A71D93" w14:textId="77777777" w:rsidR="00C90AA9" w:rsidRDefault="00C90AA9" w:rsidP="00C90AA9">
      <w:pPr>
        <w:pStyle w:val="Lijstalinea"/>
        <w:ind w:left="0"/>
        <w:jc w:val="both"/>
      </w:pPr>
      <w:r>
        <w:t>Wat de start van de Brexit</w:t>
      </w:r>
      <w:r w:rsidR="00AA69EC">
        <w:t>-</w:t>
      </w:r>
      <w:r>
        <w:t>onderhandelingen betreft</w:t>
      </w:r>
      <w:r w:rsidR="003D2781">
        <w:t>,</w:t>
      </w:r>
      <w:r>
        <w:t xml:space="preserve"> verwacht Candriam dat het economisch verlies voor het Verenigd Koninkrijk aanzienlijk groter zal zijn dan voor de andere 27 landen van de EU. </w:t>
      </w:r>
      <w:r w:rsidR="003D2781">
        <w:t xml:space="preserve">Daarom zijn </w:t>
      </w:r>
      <w:r>
        <w:t xml:space="preserve">we onderwogen </w:t>
      </w:r>
      <w:r w:rsidR="003D2781">
        <w:t xml:space="preserve">in aandelen uit </w:t>
      </w:r>
      <w:r w:rsidR="00AA69EC">
        <w:t xml:space="preserve">de </w:t>
      </w:r>
      <w:r>
        <w:t>Europese ex-</w:t>
      </w:r>
      <w:r w:rsidR="003D2781">
        <w:t>eurozone</w:t>
      </w:r>
      <w:r>
        <w:t xml:space="preserve">. </w:t>
      </w:r>
      <w:r w:rsidR="003D2781">
        <w:t xml:space="preserve">Dat </w:t>
      </w:r>
      <w:r>
        <w:t xml:space="preserve">impliceert een </w:t>
      </w:r>
      <w:r w:rsidR="003D2781">
        <w:t xml:space="preserve">verzwakking </w:t>
      </w:r>
      <w:r>
        <w:t>van de binnenlandse economi</w:t>
      </w:r>
      <w:r w:rsidR="003D2781">
        <w:t>e</w:t>
      </w:r>
      <w:r>
        <w:t>, die weerspiegeld wordt in een zwakker Brits pond en zwakkere binnenlandse aandelen (voorzichtig voor de FTSE 250).</w:t>
      </w:r>
    </w:p>
    <w:p w14:paraId="60263005" w14:textId="77777777" w:rsidR="00306EC2" w:rsidRDefault="00306EC2" w:rsidP="00C90AA9">
      <w:pPr>
        <w:pStyle w:val="Lijstalinea"/>
        <w:ind w:left="0"/>
        <w:jc w:val="both"/>
      </w:pPr>
    </w:p>
    <w:p w14:paraId="340D22AF" w14:textId="77777777" w:rsidR="005C6124" w:rsidRDefault="005C6124" w:rsidP="00D86495">
      <w:pPr>
        <w:pStyle w:val="Lijstalinea"/>
        <w:ind w:left="0"/>
        <w:jc w:val="both"/>
      </w:pPr>
    </w:p>
    <w:p w14:paraId="76F86F82" w14:textId="77777777" w:rsidR="00C90AA9" w:rsidRPr="00F85916" w:rsidRDefault="00C90AA9" w:rsidP="00C90AA9">
      <w:pPr>
        <w:pStyle w:val="Lijstalinea"/>
        <w:ind w:left="0"/>
        <w:jc w:val="both"/>
        <w:rPr>
          <w:b/>
          <w:sz w:val="24"/>
          <w:szCs w:val="24"/>
        </w:rPr>
      </w:pPr>
      <w:r>
        <w:rPr>
          <w:b/>
          <w:sz w:val="24"/>
          <w:szCs w:val="24"/>
        </w:rPr>
        <w:t>Geen excessen in de VS</w:t>
      </w:r>
    </w:p>
    <w:p w14:paraId="33DAC98F" w14:textId="77777777" w:rsidR="00C90AA9" w:rsidRDefault="00C90AA9" w:rsidP="00C90AA9">
      <w:pPr>
        <w:pStyle w:val="Lijstalinea"/>
        <w:ind w:left="0"/>
        <w:jc w:val="both"/>
      </w:pPr>
    </w:p>
    <w:p w14:paraId="6B734C30" w14:textId="77777777" w:rsidR="0078285A" w:rsidRDefault="00FD4959" w:rsidP="00C90AA9">
      <w:pPr>
        <w:pStyle w:val="Lijstalinea"/>
        <w:ind w:left="0"/>
        <w:jc w:val="both"/>
      </w:pPr>
      <w:r>
        <w:t xml:space="preserve">De wereldwijde expansie is minder uniform geworden dan op het einde van vorig jaar, maar blijft toch een ondersteunende factor. De cyclische </w:t>
      </w:r>
      <w:r w:rsidR="00AA00B5">
        <w:t xml:space="preserve">expansie </w:t>
      </w:r>
      <w:r>
        <w:t>vertraagde tijdens het eerste kwartaal en de activiteitscijfers blijven nog achter op het optimisme in de peilingen. Daarom verminderen we onze blootstelling aan Amerikaanse aandelen tot neutraal. We verwachten dat de Amerikaanse economie haar verloren terrein in de loop van het jaar zal goedmaken.</w:t>
      </w:r>
    </w:p>
    <w:p w14:paraId="413EB417" w14:textId="77777777" w:rsidR="001D3530" w:rsidRDefault="001D3530" w:rsidP="00C90AA9">
      <w:pPr>
        <w:pStyle w:val="Lijstalinea"/>
        <w:ind w:left="0"/>
        <w:jc w:val="both"/>
      </w:pPr>
    </w:p>
    <w:p w14:paraId="1D8FAA81" w14:textId="77777777" w:rsidR="001D3530" w:rsidRDefault="00D50E61" w:rsidP="00C90AA9">
      <w:pPr>
        <w:pStyle w:val="Lijstalinea"/>
        <w:ind w:left="0"/>
        <w:jc w:val="both"/>
      </w:pPr>
      <w:r>
        <w:lastRenderedPageBreak/>
        <w:t xml:space="preserve">Bij een actuele waardering van 18x </w:t>
      </w:r>
      <w:r w:rsidR="00AA00B5">
        <w:t xml:space="preserve">de verwachte </w:t>
      </w:r>
      <w:r>
        <w:t>winst lijken de Amerikaanse markten de duurste regio op grond van winstgroei met 1 cijfer.</w:t>
      </w:r>
    </w:p>
    <w:p w14:paraId="2B8CC9AB" w14:textId="77777777" w:rsidR="00CA45D6" w:rsidRDefault="00CA45D6" w:rsidP="00C90AA9">
      <w:pPr>
        <w:pStyle w:val="Lijstalinea"/>
        <w:ind w:left="0"/>
        <w:jc w:val="both"/>
      </w:pPr>
    </w:p>
    <w:p w14:paraId="53215E71" w14:textId="77777777" w:rsidR="009F76E7" w:rsidRDefault="00FD4959" w:rsidP="00C90AA9">
      <w:pPr>
        <w:pStyle w:val="Lijstalinea"/>
        <w:ind w:left="0"/>
        <w:jc w:val="both"/>
      </w:pPr>
      <w:r>
        <w:t xml:space="preserve">Het uitblijven van politiek succes in het Congres, inclusief </w:t>
      </w:r>
      <w:r w:rsidR="00AA00B5">
        <w:t>de kritiek op</w:t>
      </w:r>
      <w:r w:rsidR="00AA69EC">
        <w:t xml:space="preserve"> </w:t>
      </w:r>
      <w:r w:rsidR="00AA00B5">
        <w:t xml:space="preserve">de begroting </w:t>
      </w:r>
      <w:r>
        <w:t>voor 2018, en de escalatie van gevoelige thema's</w:t>
      </w:r>
      <w:r w:rsidR="00AA00B5">
        <w:t>,</w:t>
      </w:r>
      <w:r>
        <w:t xml:space="preserve"> hebben de geloofwaardigheid van de nieuwe regering aangetast. Vooruitgang op het gebied van de </w:t>
      </w:r>
      <w:r w:rsidR="00AA00B5">
        <w:t>gezondheidszorg</w:t>
      </w:r>
      <w:r>
        <w:t xml:space="preserve">hervorming zou de belastinghervorming op de agenda kunnen zetten, wat de geloofwaardigheid van president Trump </w:t>
      </w:r>
      <w:r w:rsidR="00AA00B5">
        <w:t xml:space="preserve">zou kunnen </w:t>
      </w:r>
      <w:r>
        <w:t xml:space="preserve">verbeteren. Vertragingen in de timing voor de </w:t>
      </w:r>
      <w:r w:rsidR="00AA00B5">
        <w:t>gezondheidszorg</w:t>
      </w:r>
      <w:r>
        <w:t xml:space="preserve">hervorming en de fiscale </w:t>
      </w:r>
      <w:r w:rsidR="00AA00B5">
        <w:t xml:space="preserve">maatregelen zijn momenteel </w:t>
      </w:r>
      <w:r>
        <w:t>een bron van onzekerheid.</w:t>
      </w:r>
    </w:p>
    <w:p w14:paraId="4230ED2B" w14:textId="77777777" w:rsidR="009F76E7" w:rsidRDefault="009F76E7" w:rsidP="00C90AA9">
      <w:pPr>
        <w:pStyle w:val="Lijstalinea"/>
        <w:ind w:left="0"/>
        <w:jc w:val="both"/>
      </w:pPr>
    </w:p>
    <w:p w14:paraId="6A075579" w14:textId="77777777" w:rsidR="008719DD" w:rsidRDefault="00FD4959" w:rsidP="00C90AA9">
      <w:pPr>
        <w:pStyle w:val="Lijstalinea"/>
        <w:ind w:left="0"/>
        <w:jc w:val="both"/>
      </w:pPr>
      <w:r>
        <w:t xml:space="preserve">We wachten op meer duidelijkheid, zowel in het binnenland over de Amerikaanse reflatie door middel van fiscale stimulansen, belastingverlagingen en versoepeling van de regelgeving, als internationaal ten aanzien van de geopolitieke spanningen met Syrië, Noord-Korea en Iran. Een snelle implementatie van fiscale maatregelen, geen verdere binnenlandse tegenvallers en </w:t>
      </w:r>
      <w:r w:rsidR="00BF2E62">
        <w:t xml:space="preserve">minder spanningen </w:t>
      </w:r>
      <w:r>
        <w:t xml:space="preserve">op geopolitiek vlak </w:t>
      </w:r>
      <w:r w:rsidR="00BF2E62">
        <w:t xml:space="preserve">vormen </w:t>
      </w:r>
      <w:r>
        <w:t>opwaartse risico's voor onze verwachtingen.</w:t>
      </w:r>
    </w:p>
    <w:p w14:paraId="3666EE68" w14:textId="77777777" w:rsidR="008719DD" w:rsidRDefault="008719DD" w:rsidP="00C90AA9">
      <w:pPr>
        <w:pStyle w:val="Lijstalinea"/>
        <w:ind w:left="0"/>
        <w:jc w:val="both"/>
      </w:pPr>
    </w:p>
    <w:p w14:paraId="25D4D164" w14:textId="77777777" w:rsidR="00FD4959" w:rsidRDefault="00FD1819" w:rsidP="00C90AA9">
      <w:pPr>
        <w:pStyle w:val="Lijstalinea"/>
        <w:ind w:left="0"/>
        <w:jc w:val="both"/>
      </w:pPr>
      <w:r>
        <w:t xml:space="preserve">Daardoor verwachten we </w:t>
      </w:r>
      <w:r w:rsidR="00FD4959">
        <w:t xml:space="preserve">een minder intense opwaartse </w:t>
      </w:r>
      <w:r>
        <w:t>rente</w:t>
      </w:r>
      <w:r w:rsidR="00FD4959">
        <w:t xml:space="preserve">druk dan </w:t>
      </w:r>
      <w:r>
        <w:t xml:space="preserve">net </w:t>
      </w:r>
      <w:r w:rsidR="00FD4959">
        <w:t xml:space="preserve">na de presidentsverkiezingen. De opwaartse druk zal echter aanhouden </w:t>
      </w:r>
      <w:r>
        <w:t xml:space="preserve">door </w:t>
      </w:r>
      <w:r w:rsidR="00FD4959">
        <w:t xml:space="preserve">een </w:t>
      </w:r>
      <w:r>
        <w:t xml:space="preserve">nieuwe </w:t>
      </w:r>
      <w:r w:rsidR="00FD4959">
        <w:t xml:space="preserve">renteverhoging </w:t>
      </w:r>
      <w:r>
        <w:t xml:space="preserve">van </w:t>
      </w:r>
      <w:r w:rsidR="00FD4959">
        <w:t xml:space="preserve">de Fed, </w:t>
      </w:r>
      <w:r>
        <w:t xml:space="preserve">de positieve evolutie van economische activiteit </w:t>
      </w:r>
      <w:r w:rsidR="00FD4959">
        <w:t>en een krappe arbeidsmarkt</w:t>
      </w:r>
      <w:r>
        <w:t xml:space="preserve">. De </w:t>
      </w:r>
      <w:r w:rsidR="00FD4959">
        <w:t xml:space="preserve">Amerikaanse </w:t>
      </w:r>
      <w:r>
        <w:t xml:space="preserve">10-jaarsrente zou zo tegen </w:t>
      </w:r>
      <w:r w:rsidR="00FD4959">
        <w:t xml:space="preserve">midden 2018 </w:t>
      </w:r>
      <w:r>
        <w:t xml:space="preserve">tot </w:t>
      </w:r>
      <w:r w:rsidR="00FD4959">
        <w:t>2,90</w:t>
      </w:r>
      <w:r w:rsidR="008162A0">
        <w:t xml:space="preserve"> %</w:t>
      </w:r>
      <w:r w:rsidR="00FD4959">
        <w:t xml:space="preserve"> </w:t>
      </w:r>
      <w:r>
        <w:t>moeten toenemen</w:t>
      </w:r>
      <w:r w:rsidR="00FD4959">
        <w:t xml:space="preserve">. De kredietmarkten zullen uiteindelijk de negatieve weerslag ondervinden door </w:t>
      </w:r>
      <w:r>
        <w:t>de stijgende rente</w:t>
      </w:r>
      <w:r w:rsidR="00FD4959">
        <w:t xml:space="preserve">, terwijl zowel de IG als HY-spreads nog weinig ruimte hebben voor verdere </w:t>
      </w:r>
      <w:r>
        <w:t>vernauwing</w:t>
      </w:r>
      <w:r w:rsidR="00FD4959">
        <w:t>.</w:t>
      </w:r>
    </w:p>
    <w:p w14:paraId="7071B959" w14:textId="77777777" w:rsidR="00CB1C99" w:rsidRDefault="00CB1C99" w:rsidP="00F5579C">
      <w:pPr>
        <w:pStyle w:val="Lijstalinea"/>
        <w:ind w:left="0"/>
        <w:jc w:val="both"/>
      </w:pPr>
    </w:p>
    <w:p w14:paraId="55E08B3C" w14:textId="77777777" w:rsidR="0078285A" w:rsidRDefault="0078285A" w:rsidP="00F5579C">
      <w:pPr>
        <w:pStyle w:val="Lijstalinea"/>
        <w:ind w:left="0"/>
        <w:jc w:val="both"/>
      </w:pPr>
      <w:r>
        <w:t>Het indirecte slachtoffer van het huidige beleid van de nieuwe regering en van de herontdekking van Europa is de Amerikaanse dollar. Een wezenlijke verandering van het monetaire beleid van de F</w:t>
      </w:r>
      <w:r w:rsidR="00901A34">
        <w:t>ederal Reserve naar een meer ag</w:t>
      </w:r>
      <w:r>
        <w:t xml:space="preserve">ressieve aanpak </w:t>
      </w:r>
      <w:r w:rsidR="00FD1819">
        <w:t xml:space="preserve">kan </w:t>
      </w:r>
      <w:r>
        <w:t xml:space="preserve">leiden tot een sterkere USD. Het risico bestaat dat nieuwe benoemingen binnen de Raad van de Federal Reserve in die richting gaan, maar tot nu toe werd er weinig vooruitgang geboekt met </w:t>
      </w:r>
      <w:r w:rsidR="00FD1819">
        <w:t xml:space="preserve">de invulling </w:t>
      </w:r>
      <w:r>
        <w:t>van de vacatures.</w:t>
      </w:r>
    </w:p>
    <w:p w14:paraId="224A5909" w14:textId="77777777" w:rsidR="00F5778A" w:rsidRDefault="00F5778A" w:rsidP="00F5579C">
      <w:pPr>
        <w:pStyle w:val="Lijstalinea"/>
        <w:ind w:left="0"/>
        <w:jc w:val="both"/>
      </w:pPr>
    </w:p>
    <w:p w14:paraId="194678C0" w14:textId="77777777" w:rsidR="00F85916" w:rsidRDefault="00F85916" w:rsidP="00F5579C">
      <w:pPr>
        <w:pStyle w:val="Lijstalinea"/>
        <w:ind w:left="0"/>
        <w:jc w:val="both"/>
      </w:pPr>
    </w:p>
    <w:p w14:paraId="3F93265B" w14:textId="77777777" w:rsidR="008719DD" w:rsidRPr="00F85916" w:rsidRDefault="008719DD" w:rsidP="00F5579C">
      <w:pPr>
        <w:pStyle w:val="Lijstalinea"/>
        <w:ind w:left="0"/>
        <w:jc w:val="both"/>
        <w:rPr>
          <w:b/>
          <w:sz w:val="24"/>
          <w:szCs w:val="24"/>
        </w:rPr>
      </w:pPr>
      <w:r>
        <w:rPr>
          <w:b/>
          <w:sz w:val="24"/>
          <w:szCs w:val="24"/>
        </w:rPr>
        <w:t>Groeilanden: beheersbare risico'</w:t>
      </w:r>
      <w:r w:rsidR="00E372ED">
        <w:rPr>
          <w:b/>
          <w:sz w:val="24"/>
          <w:szCs w:val="24"/>
        </w:rPr>
        <w:t>s</w:t>
      </w:r>
    </w:p>
    <w:p w14:paraId="0B334B47" w14:textId="77777777" w:rsidR="008719DD" w:rsidRDefault="008719DD" w:rsidP="00F5579C">
      <w:pPr>
        <w:pStyle w:val="Lijstalinea"/>
        <w:ind w:left="0"/>
        <w:jc w:val="both"/>
      </w:pPr>
    </w:p>
    <w:p w14:paraId="49DB8A94" w14:textId="77777777" w:rsidR="005B5548" w:rsidRDefault="0078285A" w:rsidP="00F5579C">
      <w:pPr>
        <w:pStyle w:val="Lijstalinea"/>
        <w:ind w:left="0"/>
        <w:jc w:val="both"/>
      </w:pPr>
      <w:r>
        <w:t xml:space="preserve">Omdat we verwachten dat het milde beleid </w:t>
      </w:r>
      <w:r w:rsidR="00E372ED">
        <w:t xml:space="preserve">van de centrale banken van de ontwikkelde landen </w:t>
      </w:r>
      <w:r>
        <w:t xml:space="preserve">zal overgaan naar een meer neutrale aanpak, vertonen activa van groeilanden bijkomend opwaarts potentieel. Een </w:t>
      </w:r>
      <w:r w:rsidR="00E372ED">
        <w:t xml:space="preserve">verstrakking van het monetair beleid in de ontwikkelde landen </w:t>
      </w:r>
      <w:r>
        <w:t xml:space="preserve">staat haaks op een verwachte versoepeling van het monetaire beleid in de groeilanden. </w:t>
      </w:r>
      <w:r w:rsidR="00E372ED">
        <w:t xml:space="preserve">Bovendien </w:t>
      </w:r>
      <w:r>
        <w:t xml:space="preserve">halen </w:t>
      </w:r>
      <w:r w:rsidR="00E372ED">
        <w:t xml:space="preserve">groeilandobligaties </w:t>
      </w:r>
      <w:r>
        <w:t xml:space="preserve">voordeel uit de zwakkere Amerikaanse dollar en sterke fundamentals. We zijn ervan overtuigd dat de groeilanden nog </w:t>
      </w:r>
      <w:r w:rsidR="00E372ED">
        <w:t xml:space="preserve">altijd </w:t>
      </w:r>
      <w:r>
        <w:t xml:space="preserve">een aantrekkelijk alternatief zijn voor </w:t>
      </w:r>
      <w:r w:rsidR="00E372ED">
        <w:t xml:space="preserve">de obligatiebelegger. Ondanks de recente toename van het politieke risico in Brazilië is onze visie over groeilandobligaties </w:t>
      </w:r>
      <w:r>
        <w:t>niet dramatisch gewijzigd</w:t>
      </w:r>
      <w:r w:rsidR="00901A34">
        <w:t>.</w:t>
      </w:r>
      <w:r>
        <w:t xml:space="preserve"> Vooral in Brazilië zal </w:t>
      </w:r>
      <w:r w:rsidR="00E372ED">
        <w:t>er een soepel monetair beleid gevoerd worden</w:t>
      </w:r>
      <w:r w:rsidR="00AA69EC">
        <w:t xml:space="preserve"> </w:t>
      </w:r>
      <w:r w:rsidR="00E372ED">
        <w:t xml:space="preserve">om de </w:t>
      </w:r>
      <w:r>
        <w:t>sterke desinflatietrend</w:t>
      </w:r>
      <w:r w:rsidR="00E372ED">
        <w:t xml:space="preserve"> aan te vechten</w:t>
      </w:r>
      <w:r>
        <w:t xml:space="preserve">. </w:t>
      </w:r>
    </w:p>
    <w:p w14:paraId="06603AEB" w14:textId="77777777" w:rsidR="005B5548" w:rsidRDefault="005B5548" w:rsidP="00F5579C">
      <w:pPr>
        <w:pStyle w:val="Lijstalinea"/>
        <w:ind w:left="0"/>
        <w:jc w:val="both"/>
      </w:pPr>
    </w:p>
    <w:p w14:paraId="34C0F31B" w14:textId="77777777" w:rsidR="00AE12EF" w:rsidRDefault="005B5548" w:rsidP="00F5579C">
      <w:pPr>
        <w:pStyle w:val="Lijstalinea"/>
        <w:ind w:left="0"/>
        <w:jc w:val="both"/>
      </w:pPr>
      <w:r>
        <w:t xml:space="preserve">We handhaven onze positieve visie op </w:t>
      </w:r>
      <w:r w:rsidR="00E372ED">
        <w:t>groeiland</w:t>
      </w:r>
      <w:r>
        <w:t xml:space="preserve">munten, verdeeld tussen lage bèta </w:t>
      </w:r>
      <w:r w:rsidR="00E372ED">
        <w:t xml:space="preserve">groeilanden in </w:t>
      </w:r>
      <w:r>
        <w:t>Azië (Indonesië en Maleisië) en Centraal- en Oost-Europese munten, die naar verwachting positief zullen beïnvloed worden door de heropleving van de Europese groei en de sterker wordende EUR</w:t>
      </w:r>
      <w:r w:rsidR="00901A34">
        <w:t>/</w:t>
      </w:r>
      <w:r>
        <w:t xml:space="preserve">USD wisselkoers. We behouden ook een positieve visie op duratie, op grond van de sterke desinflatie in de groeilanden. Zuid-Afrika, Mexico, </w:t>
      </w:r>
      <w:r w:rsidR="00901A34">
        <w:t>Indonesië</w:t>
      </w:r>
      <w:r>
        <w:t xml:space="preserve"> en Brazilië blijven </w:t>
      </w:r>
      <w:r w:rsidR="00E372ED">
        <w:t xml:space="preserve">op dat vlak </w:t>
      </w:r>
      <w:r>
        <w:t>onze bevoorrechte markten.</w:t>
      </w:r>
    </w:p>
    <w:p w14:paraId="693B3350" w14:textId="77777777" w:rsidR="005B5548" w:rsidRDefault="005B5548" w:rsidP="00F5579C">
      <w:pPr>
        <w:pStyle w:val="Lijstalinea"/>
        <w:ind w:left="0"/>
        <w:jc w:val="both"/>
      </w:pPr>
    </w:p>
    <w:p w14:paraId="1F2C8278" w14:textId="77777777" w:rsidR="00EF2641" w:rsidRDefault="002D0ED2" w:rsidP="00AE12EF">
      <w:pPr>
        <w:pStyle w:val="Lijstalinea"/>
        <w:ind w:left="0"/>
        <w:jc w:val="both"/>
      </w:pPr>
      <w:r>
        <w:lastRenderedPageBreak/>
        <w:t xml:space="preserve">We zijn overwogen in </w:t>
      </w:r>
      <w:r w:rsidR="00E372ED">
        <w:t>groeiland</w:t>
      </w:r>
      <w:r>
        <w:t xml:space="preserve">aandelen. </w:t>
      </w:r>
      <w:r w:rsidR="00E372ED">
        <w:t xml:space="preserve">Ze hebben </w:t>
      </w:r>
      <w:r>
        <w:t xml:space="preserve">een aantrekkelijke waardering (12x </w:t>
      </w:r>
      <w:r w:rsidR="00E372ED">
        <w:t>de verwachte winst voor de komende twaalf maanden</w:t>
      </w:r>
      <w:r>
        <w:t xml:space="preserve">) in een context van sterke wereldwijde groei. </w:t>
      </w:r>
      <w:r w:rsidR="00E372ED">
        <w:t xml:space="preserve">Daardoor </w:t>
      </w:r>
      <w:r>
        <w:t>zullen de bedrijfswinsten in de groeilanden tijdens het komende jaar naar verwachting met meer dan 10</w:t>
      </w:r>
      <w:r w:rsidR="008162A0">
        <w:t xml:space="preserve"> %</w:t>
      </w:r>
      <w:r>
        <w:t xml:space="preserve"> stijgen.</w:t>
      </w:r>
    </w:p>
    <w:p w14:paraId="0995F97C" w14:textId="77777777" w:rsidR="00171B7D" w:rsidRDefault="00171B7D" w:rsidP="00AE12EF">
      <w:pPr>
        <w:pStyle w:val="Lijstalinea"/>
        <w:ind w:left="0"/>
        <w:jc w:val="both"/>
      </w:pPr>
    </w:p>
    <w:p w14:paraId="5990ACE3" w14:textId="77777777" w:rsidR="002D0ED2" w:rsidRDefault="00E372ED" w:rsidP="00AE12EF">
      <w:pPr>
        <w:pStyle w:val="Lijstalinea"/>
        <w:ind w:left="0"/>
        <w:jc w:val="both"/>
      </w:pPr>
      <w:r>
        <w:t xml:space="preserve">Daarbovenop zal </w:t>
      </w:r>
      <w:r w:rsidR="002D0ED2">
        <w:t xml:space="preserve">China dit jaar niet zorgen voor een systemisch risico, </w:t>
      </w:r>
      <w:r>
        <w:t xml:space="preserve">al blijven </w:t>
      </w:r>
      <w:r w:rsidR="002D0ED2">
        <w:t>we de impact van de striktere regelgeving</w:t>
      </w:r>
      <w:r>
        <w:t>,</w:t>
      </w:r>
      <w:r w:rsidR="002D0ED2">
        <w:t xml:space="preserve"> die de voorbije lente enigszins in een stroomversnelling kwam</w:t>
      </w:r>
      <w:r>
        <w:t>, opvolgen</w:t>
      </w:r>
      <w:r w:rsidR="002D0ED2">
        <w:t xml:space="preserve">. </w:t>
      </w:r>
      <w:r>
        <w:t>Het 19</w:t>
      </w:r>
      <w:r>
        <w:rPr>
          <w:vertAlign w:val="superscript"/>
        </w:rPr>
        <w:t>e</w:t>
      </w:r>
      <w:r>
        <w:t xml:space="preserve"> Nationale Congres van de Communistische Partij van China zal een belangrijke mijlpaal zijn in het najaar</w:t>
      </w:r>
      <w:r w:rsidR="00AA69EC">
        <w:t xml:space="preserve"> </w:t>
      </w:r>
      <w:r w:rsidR="002D0ED2">
        <w:t>omdat hier wellicht de nadruk zal gelegd worden op de machtsoverdracht.</w:t>
      </w:r>
    </w:p>
    <w:p w14:paraId="1E456C10" w14:textId="77777777" w:rsidR="00F85916" w:rsidRDefault="00F85916" w:rsidP="00F85916">
      <w:pPr>
        <w:pStyle w:val="Lijstalinea"/>
        <w:ind w:left="0"/>
        <w:jc w:val="both"/>
      </w:pPr>
    </w:p>
    <w:p w14:paraId="684F755B" w14:textId="77777777" w:rsidR="00F85916" w:rsidRPr="00F85916" w:rsidRDefault="00F85916" w:rsidP="00F85916">
      <w:pPr>
        <w:pStyle w:val="Lijstalinea"/>
        <w:ind w:left="0"/>
        <w:jc w:val="both"/>
        <w:rPr>
          <w:b/>
          <w:sz w:val="24"/>
          <w:szCs w:val="24"/>
        </w:rPr>
      </w:pPr>
      <w:r>
        <w:rPr>
          <w:b/>
          <w:sz w:val="24"/>
          <w:szCs w:val="24"/>
        </w:rPr>
        <w:t>Japanse activa ondersteund door de Bank of Japan</w:t>
      </w:r>
    </w:p>
    <w:p w14:paraId="4B561234" w14:textId="77777777" w:rsidR="00F85916" w:rsidRDefault="00F85916" w:rsidP="00F85916">
      <w:pPr>
        <w:pStyle w:val="Lijstalinea"/>
        <w:ind w:left="0"/>
        <w:jc w:val="both"/>
      </w:pPr>
    </w:p>
    <w:p w14:paraId="40052F2E" w14:textId="77777777" w:rsidR="00FC7588" w:rsidRDefault="00F85916" w:rsidP="00F85916">
      <w:pPr>
        <w:pStyle w:val="Lijstalinea"/>
        <w:ind w:left="0"/>
        <w:jc w:val="both"/>
      </w:pPr>
      <w:r>
        <w:t>Het lijkt erop dat de Bank of Japan de laatste zal zijn om haar massale steun aan de economie af te bouwen. Sinds 2013 is de balans met JPY340</w:t>
      </w:r>
      <w:r w:rsidR="007C1928">
        <w:t xml:space="preserve"> </w:t>
      </w:r>
      <w:r>
        <w:t>tn gestegen tot JPY500</w:t>
      </w:r>
      <w:r w:rsidR="007C1928">
        <w:t xml:space="preserve"> </w:t>
      </w:r>
      <w:r>
        <w:t xml:space="preserve">tn. De Bank of Japan zal onafgebroken liquiditeitssteun blijven geven. In tegenstelling tot de Federal Reserve of de ECB is het einde nog niet in zicht voor de uitbreiding van de balans van de Bank of Japan. </w:t>
      </w:r>
      <w:r w:rsidR="007C1928">
        <w:t xml:space="preserve">Dat </w:t>
      </w:r>
      <w:r>
        <w:t xml:space="preserve">zal naar verwachting leiden tot een verzwakking van de munt. </w:t>
      </w:r>
      <w:r w:rsidR="007C1928">
        <w:t xml:space="preserve">Japanse aandelen kunnen daarvan profiteren. De </w:t>
      </w:r>
      <w:r>
        <w:t xml:space="preserve">relatieve prestaties van Japanse aandelen </w:t>
      </w:r>
      <w:r w:rsidR="007C1928">
        <w:t xml:space="preserve">is </w:t>
      </w:r>
      <w:r>
        <w:t>in hoge mate (-70</w:t>
      </w:r>
      <w:r w:rsidR="008162A0">
        <w:t xml:space="preserve"> %</w:t>
      </w:r>
      <w:r>
        <w:t>) gecorreleerd aan de Japanse munt</w:t>
      </w:r>
      <w:r w:rsidR="007C1928">
        <w:t>,</w:t>
      </w:r>
      <w:r>
        <w:t xml:space="preserve"> aangezien </w:t>
      </w:r>
      <w:r w:rsidR="007C1928">
        <w:t xml:space="preserve">die </w:t>
      </w:r>
      <w:r>
        <w:t xml:space="preserve">gericht zijn op </w:t>
      </w:r>
      <w:r w:rsidR="007C1928">
        <w:t>export</w:t>
      </w:r>
      <w:r>
        <w:t xml:space="preserve">prestaties van de export en de Japanse winst </w:t>
      </w:r>
      <w:r w:rsidR="007C1928">
        <w:t>wordt ondersteund door een zwakke munt</w:t>
      </w:r>
      <w:r>
        <w:t xml:space="preserve">. </w:t>
      </w:r>
    </w:p>
    <w:p w14:paraId="21EFCCD5" w14:textId="77777777" w:rsidR="00FC7588" w:rsidRDefault="00FC7588" w:rsidP="00F85916">
      <w:pPr>
        <w:pStyle w:val="Lijstalinea"/>
        <w:ind w:left="0"/>
        <w:jc w:val="both"/>
      </w:pPr>
    </w:p>
    <w:p w14:paraId="0791C80C" w14:textId="77777777" w:rsidR="00FC7588" w:rsidRDefault="00FC7588" w:rsidP="00FC7588">
      <w:pPr>
        <w:pStyle w:val="Lijstalinea"/>
        <w:ind w:left="0"/>
        <w:jc w:val="both"/>
      </w:pPr>
      <w:r>
        <w:t xml:space="preserve">Gunstige omstandigheden ondersteunen de Japanse economie. Een ondersteunend beleid, een krappere arbeidsmarkt, betere winstmarges en een sterk prijszettingsvermogen bij de bedrijven, zijn momenteel de beïnvloedende factoren. </w:t>
      </w:r>
      <w:r w:rsidR="009E0535">
        <w:t xml:space="preserve">Daarbovenop </w:t>
      </w:r>
      <w:r>
        <w:t xml:space="preserve">is wereldwijde groei nu een meer doorslaggevende factor voor de omzet en de winst van de Japanse bedrijven dan de stijging van het bbp, omdat de verkopen in het buitenland </w:t>
      </w:r>
      <w:r w:rsidR="009E0535">
        <w:t xml:space="preserve">liefst </w:t>
      </w:r>
      <w:r>
        <w:t>58</w:t>
      </w:r>
      <w:r w:rsidR="008162A0">
        <w:t xml:space="preserve"> %</w:t>
      </w:r>
      <w:r>
        <w:t xml:space="preserve"> uit</w:t>
      </w:r>
      <w:r w:rsidR="00901A34">
        <w:t xml:space="preserve">maken van de totale inkomsten. </w:t>
      </w:r>
      <w:r>
        <w:t>Globaal genomen verwachten we dat de bedrijfswinsten het komende jaar met 6</w:t>
      </w:r>
      <w:r w:rsidR="008162A0">
        <w:t xml:space="preserve"> %</w:t>
      </w:r>
      <w:r>
        <w:t xml:space="preserve"> zullen stijgen, aangevuld met een </w:t>
      </w:r>
      <w:r w:rsidR="00901A34">
        <w:t>dividendrendement</w:t>
      </w:r>
      <w:r>
        <w:t xml:space="preserve"> van 2</w:t>
      </w:r>
      <w:r w:rsidR="008162A0">
        <w:t xml:space="preserve"> %</w:t>
      </w:r>
      <w:r>
        <w:t xml:space="preserve">. Met </w:t>
      </w:r>
      <w:r w:rsidR="009E0535">
        <w:t xml:space="preserve">waarderingsparameters </w:t>
      </w:r>
      <w:r>
        <w:t xml:space="preserve">van iets minder dan 14x </w:t>
      </w:r>
      <w:r w:rsidR="009E0535">
        <w:t xml:space="preserve">de verwachte </w:t>
      </w:r>
      <w:r>
        <w:t xml:space="preserve">winst, zijn Japanse aandelen momenteel </w:t>
      </w:r>
      <w:r w:rsidR="009E0535">
        <w:t xml:space="preserve">relatief aantrekkelijk </w:t>
      </w:r>
      <w:r>
        <w:t>gewaardeerd. De volgende stap, een overweging van Japanse aandelen, zou zinvol zijn indien de wereldwijde groei blijft verbeteren en de reflatiehandel weer op gang komt, wat een sterkere Amerikaanse dollar en een stijgend</w:t>
      </w:r>
      <w:r w:rsidR="009E0535">
        <w:t>e</w:t>
      </w:r>
      <w:r>
        <w:t xml:space="preserve"> </w:t>
      </w:r>
      <w:r w:rsidR="009E0535">
        <w:t xml:space="preserve">rente </w:t>
      </w:r>
      <w:r>
        <w:t>impliceert.</w:t>
      </w:r>
    </w:p>
    <w:p w14:paraId="7EB41E77" w14:textId="77777777" w:rsidR="00FC7588" w:rsidRDefault="00FC7588" w:rsidP="00F85916">
      <w:pPr>
        <w:pStyle w:val="Lijstalinea"/>
        <w:ind w:left="0"/>
        <w:jc w:val="both"/>
      </w:pPr>
    </w:p>
    <w:p w14:paraId="5F01BE94" w14:textId="77777777" w:rsidR="00FC7588" w:rsidRDefault="00FC7588" w:rsidP="00FC7588">
      <w:pPr>
        <w:pStyle w:val="Lijstalinea"/>
        <w:ind w:left="0"/>
        <w:jc w:val="both"/>
      </w:pPr>
      <w:r>
        <w:t xml:space="preserve">De neerwaartse risico's blijven hoofdzakelijk beperkt tot een onverwachte wijziging van de houding door de centrale banken aangezien </w:t>
      </w:r>
      <w:r w:rsidR="009E0535">
        <w:t xml:space="preserve">dat </w:t>
      </w:r>
      <w:r>
        <w:t xml:space="preserve">een impact </w:t>
      </w:r>
      <w:r w:rsidR="009E0535">
        <w:t>heeft</w:t>
      </w:r>
      <w:r w:rsidR="00AA69EC">
        <w:t xml:space="preserve"> op de</w:t>
      </w:r>
      <w:r w:rsidR="009E0535">
        <w:t xml:space="preserve"> </w:t>
      </w:r>
      <w:r>
        <w:t>JPY.</w:t>
      </w:r>
    </w:p>
    <w:p w14:paraId="60F91DA3" w14:textId="77777777" w:rsidR="00FC7588" w:rsidRDefault="00FC7588" w:rsidP="00FC7588">
      <w:pPr>
        <w:pStyle w:val="Lijstalinea"/>
        <w:ind w:left="0"/>
        <w:jc w:val="both"/>
      </w:pPr>
    </w:p>
    <w:p w14:paraId="4FF2E94E" w14:textId="77777777" w:rsidR="001A0318" w:rsidRDefault="001A0318" w:rsidP="00FC7588">
      <w:pPr>
        <w:pStyle w:val="Lijstalinea"/>
        <w:ind w:left="0"/>
        <w:jc w:val="both"/>
      </w:pPr>
    </w:p>
    <w:p w14:paraId="34ED2F2D" w14:textId="77777777" w:rsidR="001A0318" w:rsidRDefault="00DC788A" w:rsidP="00FC7588">
      <w:pPr>
        <w:pStyle w:val="Lijstalinea"/>
        <w:ind w:left="0"/>
        <w:jc w:val="both"/>
      </w:pPr>
      <w:r>
        <w:rPr>
          <w:noProof/>
          <w:lang w:val="nl-NL" w:eastAsia="nl-NL"/>
        </w:rPr>
        <w:lastRenderedPageBreak/>
        <w:drawing>
          <wp:inline distT="0" distB="0" distL="0" distR="0" wp14:anchorId="092BADAB" wp14:editId="6BB233CA">
            <wp:extent cx="5943600" cy="2880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0745"/>
                    </a:xfrm>
                    <a:prstGeom prst="rect">
                      <a:avLst/>
                    </a:prstGeom>
                    <a:noFill/>
                  </pic:spPr>
                </pic:pic>
              </a:graphicData>
            </a:graphic>
          </wp:inline>
        </w:drawing>
      </w:r>
    </w:p>
    <w:p w14:paraId="0A37A306" w14:textId="77777777" w:rsidR="001A0318" w:rsidRDefault="001A0318" w:rsidP="00FC7588">
      <w:pPr>
        <w:pStyle w:val="Lijstalinea"/>
        <w:ind w:left="0"/>
        <w:jc w:val="both"/>
      </w:pPr>
    </w:p>
    <w:p w14:paraId="1375D035" w14:textId="77777777" w:rsidR="001A0318" w:rsidRPr="00DC788A" w:rsidRDefault="001A0318" w:rsidP="00FC7588">
      <w:pPr>
        <w:pStyle w:val="Lijstalinea"/>
        <w:ind w:left="0"/>
        <w:jc w:val="both"/>
      </w:pPr>
    </w:p>
    <w:p w14:paraId="29C14F7B" w14:textId="77777777" w:rsidR="001A0318" w:rsidRDefault="001A0318" w:rsidP="00FC7588">
      <w:pPr>
        <w:pStyle w:val="Lijstalinea"/>
        <w:ind w:left="0"/>
        <w:jc w:val="both"/>
      </w:pPr>
    </w:p>
    <w:p w14:paraId="7812ED6F" w14:textId="77777777" w:rsidR="001A0318" w:rsidRDefault="001A0318" w:rsidP="00FC7588">
      <w:pPr>
        <w:pStyle w:val="Lijstalinea"/>
        <w:ind w:left="0"/>
        <w:jc w:val="both"/>
      </w:pPr>
      <w:r>
        <w:rPr>
          <w:noProof/>
          <w:lang w:val="nl-NL" w:eastAsia="nl-NL"/>
        </w:rPr>
        <w:drawing>
          <wp:inline distT="0" distB="0" distL="0" distR="0" wp14:anchorId="2E79AED7" wp14:editId="0D353BA9">
            <wp:extent cx="3084830" cy="11398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830" cy="1139825"/>
                    </a:xfrm>
                    <a:prstGeom prst="rect">
                      <a:avLst/>
                    </a:prstGeom>
                    <a:noFill/>
                  </pic:spPr>
                </pic:pic>
              </a:graphicData>
            </a:graphic>
          </wp:inline>
        </w:drawing>
      </w:r>
    </w:p>
    <w:sectPr w:rsidR="001A0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664"/>
    <w:multiLevelType w:val="hybridMultilevel"/>
    <w:tmpl w:val="5874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85696"/>
    <w:multiLevelType w:val="hybridMultilevel"/>
    <w:tmpl w:val="FA4C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EE1CD9"/>
    <w:multiLevelType w:val="hybridMultilevel"/>
    <w:tmpl w:val="D050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D357A6"/>
    <w:multiLevelType w:val="hybridMultilevel"/>
    <w:tmpl w:val="8170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5B7833"/>
    <w:multiLevelType w:val="hybridMultilevel"/>
    <w:tmpl w:val="FD320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0A02FC"/>
    <w:multiLevelType w:val="hybridMultilevel"/>
    <w:tmpl w:val="BF804AF8"/>
    <w:lvl w:ilvl="0" w:tplc="71B4840E">
      <w:start w:val="1"/>
      <w:numFmt w:val="bullet"/>
      <w:pStyle w:val="bodybullet2"/>
      <w:lvlText w:val=""/>
      <w:lvlJc w:val="left"/>
      <w:pPr>
        <w:tabs>
          <w:tab w:val="num" w:pos="312"/>
        </w:tabs>
        <w:ind w:left="482" w:hanging="170"/>
      </w:pPr>
      <w:rPr>
        <w:rFonts w:ascii="Wingdings 2" w:hAnsi="Wingdings 2" w:hint="default"/>
        <w:b w:val="0"/>
        <w:bCs w:val="0"/>
        <w:i w:val="0"/>
        <w:iCs w:val="0"/>
        <w:color w:val="004769"/>
        <w:sz w:val="14"/>
        <w:szCs w:val="14"/>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2A275E50"/>
    <w:multiLevelType w:val="hybridMultilevel"/>
    <w:tmpl w:val="E36E8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2F703A"/>
    <w:multiLevelType w:val="hybridMultilevel"/>
    <w:tmpl w:val="D50EF89A"/>
    <w:lvl w:ilvl="0" w:tplc="637E6696">
      <w:start w:val="1"/>
      <w:numFmt w:val="bullet"/>
      <w:pStyle w:val="bodybullet1"/>
      <w:lvlText w:val=""/>
      <w:lvlJc w:val="left"/>
      <w:pPr>
        <w:tabs>
          <w:tab w:val="num" w:pos="340"/>
        </w:tabs>
        <w:ind w:left="170" w:hanging="170"/>
      </w:pPr>
      <w:rPr>
        <w:rFonts w:ascii="Wingdings" w:hAnsi="Wingdings" w:hint="default"/>
        <w:color w:val="C136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9E20D8"/>
    <w:multiLevelType w:val="hybridMultilevel"/>
    <w:tmpl w:val="87D4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2A32DA"/>
    <w:multiLevelType w:val="hybridMultilevel"/>
    <w:tmpl w:val="1284C902"/>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0">
    <w:nsid w:val="789E04A8"/>
    <w:multiLevelType w:val="hybridMultilevel"/>
    <w:tmpl w:val="A51E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0"/>
  </w:num>
  <w:num w:numId="4">
    <w:abstractNumId w:val="8"/>
  </w:num>
  <w:num w:numId="5">
    <w:abstractNumId w:val="3"/>
  </w:num>
  <w:num w:numId="6">
    <w:abstractNumId w:val="2"/>
  </w:num>
  <w:num w:numId="7">
    <w:abstractNumId w:val="1"/>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1B4AFF"/>
    <w:rsid w:val="0000772B"/>
    <w:rsid w:val="000143A6"/>
    <w:rsid w:val="00024AD6"/>
    <w:rsid w:val="000261CE"/>
    <w:rsid w:val="00036A09"/>
    <w:rsid w:val="0004309F"/>
    <w:rsid w:val="000461DA"/>
    <w:rsid w:val="00046E8A"/>
    <w:rsid w:val="00055D49"/>
    <w:rsid w:val="000C1D56"/>
    <w:rsid w:val="000D4E34"/>
    <w:rsid w:val="000F3BDE"/>
    <w:rsid w:val="0011748C"/>
    <w:rsid w:val="00123C1B"/>
    <w:rsid w:val="0013086D"/>
    <w:rsid w:val="001316A2"/>
    <w:rsid w:val="00171B7D"/>
    <w:rsid w:val="00172347"/>
    <w:rsid w:val="00183752"/>
    <w:rsid w:val="001855E0"/>
    <w:rsid w:val="001A0318"/>
    <w:rsid w:val="001A4012"/>
    <w:rsid w:val="001B4AFF"/>
    <w:rsid w:val="001D3530"/>
    <w:rsid w:val="001E739D"/>
    <w:rsid w:val="001F6651"/>
    <w:rsid w:val="002271BC"/>
    <w:rsid w:val="00232640"/>
    <w:rsid w:val="002365F6"/>
    <w:rsid w:val="00243958"/>
    <w:rsid w:val="00261358"/>
    <w:rsid w:val="002639A1"/>
    <w:rsid w:val="002701A0"/>
    <w:rsid w:val="002732F8"/>
    <w:rsid w:val="002C5618"/>
    <w:rsid w:val="002D0ED2"/>
    <w:rsid w:val="002E4B4C"/>
    <w:rsid w:val="002E64AF"/>
    <w:rsid w:val="002F05C1"/>
    <w:rsid w:val="002F5472"/>
    <w:rsid w:val="00306EC2"/>
    <w:rsid w:val="003142B4"/>
    <w:rsid w:val="003254B3"/>
    <w:rsid w:val="00325E36"/>
    <w:rsid w:val="00354793"/>
    <w:rsid w:val="003711E3"/>
    <w:rsid w:val="003836AB"/>
    <w:rsid w:val="003A5D69"/>
    <w:rsid w:val="003D2781"/>
    <w:rsid w:val="003F765A"/>
    <w:rsid w:val="00403A79"/>
    <w:rsid w:val="00413A8B"/>
    <w:rsid w:val="004407C2"/>
    <w:rsid w:val="0044581A"/>
    <w:rsid w:val="00450AF6"/>
    <w:rsid w:val="004722BD"/>
    <w:rsid w:val="00485CF7"/>
    <w:rsid w:val="004B0D24"/>
    <w:rsid w:val="004D6946"/>
    <w:rsid w:val="004E060C"/>
    <w:rsid w:val="00511CAB"/>
    <w:rsid w:val="00584138"/>
    <w:rsid w:val="005972F5"/>
    <w:rsid w:val="005A1201"/>
    <w:rsid w:val="005A41A5"/>
    <w:rsid w:val="005B5548"/>
    <w:rsid w:val="005B5ABE"/>
    <w:rsid w:val="005C6124"/>
    <w:rsid w:val="005E257A"/>
    <w:rsid w:val="00605DE2"/>
    <w:rsid w:val="00613509"/>
    <w:rsid w:val="00614B1C"/>
    <w:rsid w:val="00682E79"/>
    <w:rsid w:val="006B0945"/>
    <w:rsid w:val="007349DE"/>
    <w:rsid w:val="007418E9"/>
    <w:rsid w:val="0075523B"/>
    <w:rsid w:val="007638C3"/>
    <w:rsid w:val="0078023D"/>
    <w:rsid w:val="0078285A"/>
    <w:rsid w:val="007A5FBE"/>
    <w:rsid w:val="007C1928"/>
    <w:rsid w:val="007E3CD0"/>
    <w:rsid w:val="007F6B76"/>
    <w:rsid w:val="008162A0"/>
    <w:rsid w:val="008719DD"/>
    <w:rsid w:val="00883A34"/>
    <w:rsid w:val="00886A1D"/>
    <w:rsid w:val="008D3317"/>
    <w:rsid w:val="00901A34"/>
    <w:rsid w:val="009066E6"/>
    <w:rsid w:val="00940324"/>
    <w:rsid w:val="00985A16"/>
    <w:rsid w:val="009C6C48"/>
    <w:rsid w:val="009D3703"/>
    <w:rsid w:val="009E0535"/>
    <w:rsid w:val="009F76E7"/>
    <w:rsid w:val="00A215B0"/>
    <w:rsid w:val="00A47153"/>
    <w:rsid w:val="00A560C6"/>
    <w:rsid w:val="00A736B0"/>
    <w:rsid w:val="00A7705E"/>
    <w:rsid w:val="00A856B0"/>
    <w:rsid w:val="00A905DA"/>
    <w:rsid w:val="00AA00B5"/>
    <w:rsid w:val="00AA506E"/>
    <w:rsid w:val="00AA69EC"/>
    <w:rsid w:val="00AE12EF"/>
    <w:rsid w:val="00AE7EA9"/>
    <w:rsid w:val="00B34CCE"/>
    <w:rsid w:val="00B467FB"/>
    <w:rsid w:val="00BA1135"/>
    <w:rsid w:val="00BA1ED2"/>
    <w:rsid w:val="00BB4550"/>
    <w:rsid w:val="00BF2E62"/>
    <w:rsid w:val="00C367B5"/>
    <w:rsid w:val="00C5332F"/>
    <w:rsid w:val="00C67615"/>
    <w:rsid w:val="00C76329"/>
    <w:rsid w:val="00C90AA9"/>
    <w:rsid w:val="00C94953"/>
    <w:rsid w:val="00CA45D6"/>
    <w:rsid w:val="00CB1C99"/>
    <w:rsid w:val="00CC59CF"/>
    <w:rsid w:val="00CD268D"/>
    <w:rsid w:val="00CD7663"/>
    <w:rsid w:val="00D22B4E"/>
    <w:rsid w:val="00D50E61"/>
    <w:rsid w:val="00D52527"/>
    <w:rsid w:val="00D76E57"/>
    <w:rsid w:val="00D86495"/>
    <w:rsid w:val="00D9428A"/>
    <w:rsid w:val="00D96FDD"/>
    <w:rsid w:val="00DC788A"/>
    <w:rsid w:val="00DF61B7"/>
    <w:rsid w:val="00E372ED"/>
    <w:rsid w:val="00E50B9E"/>
    <w:rsid w:val="00E54564"/>
    <w:rsid w:val="00E57ED5"/>
    <w:rsid w:val="00E71EEA"/>
    <w:rsid w:val="00EB29B5"/>
    <w:rsid w:val="00EC2987"/>
    <w:rsid w:val="00EE74F3"/>
    <w:rsid w:val="00EF2641"/>
    <w:rsid w:val="00F518B7"/>
    <w:rsid w:val="00F5579C"/>
    <w:rsid w:val="00F5778A"/>
    <w:rsid w:val="00F70B94"/>
    <w:rsid w:val="00F85916"/>
    <w:rsid w:val="00FC7588"/>
    <w:rsid w:val="00FD1819"/>
    <w:rsid w:val="00FD4959"/>
    <w:rsid w:val="00FF1CF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92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4AFF"/>
    <w:pPr>
      <w:spacing w:after="0" w:line="240" w:lineRule="auto"/>
      <w:ind w:left="720"/>
    </w:pPr>
    <w:rPr>
      <w:rFonts w:ascii="Calibri" w:hAnsi="Calibri" w:cs="Times New Roman"/>
      <w:lang w:eastAsia="en-GB"/>
    </w:rPr>
  </w:style>
  <w:style w:type="paragraph" w:styleId="Ballontekst">
    <w:name w:val="Balloon Text"/>
    <w:basedOn w:val="Standaard"/>
    <w:link w:val="BallontekstTeken"/>
    <w:uiPriority w:val="99"/>
    <w:semiHidden/>
    <w:unhideWhenUsed/>
    <w:rsid w:val="001B4AF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B4AFF"/>
    <w:rPr>
      <w:rFonts w:ascii="Tahoma" w:hAnsi="Tahoma" w:cs="Tahoma"/>
      <w:sz w:val="16"/>
      <w:szCs w:val="16"/>
    </w:rPr>
  </w:style>
  <w:style w:type="paragraph" w:customStyle="1" w:styleId="body">
    <w:name w:val="body"/>
    <w:basedOn w:val="Standaard"/>
    <w:uiPriority w:val="99"/>
    <w:qFormat/>
    <w:rsid w:val="002D0ED2"/>
    <w:pPr>
      <w:widowControl w:val="0"/>
      <w:autoSpaceDE w:val="0"/>
      <w:autoSpaceDN w:val="0"/>
      <w:adjustRightInd w:val="0"/>
      <w:spacing w:after="0" w:line="260" w:lineRule="atLeast"/>
      <w:jc w:val="both"/>
      <w:textAlignment w:val="center"/>
    </w:pPr>
    <w:rPr>
      <w:rFonts w:ascii="Arial" w:eastAsia="MS Mincho" w:hAnsi="Arial" w:cs="ArialMT"/>
      <w:color w:val="3C3C3B"/>
      <w:sz w:val="18"/>
      <w:szCs w:val="18"/>
    </w:rPr>
  </w:style>
  <w:style w:type="paragraph" w:customStyle="1" w:styleId="bodybullet1">
    <w:name w:val="body_bullet1"/>
    <w:basedOn w:val="body"/>
    <w:next w:val="body"/>
    <w:autoRedefine/>
    <w:uiPriority w:val="99"/>
    <w:qFormat/>
    <w:rsid w:val="002D0ED2"/>
    <w:pPr>
      <w:numPr>
        <w:numId w:val="8"/>
      </w:numPr>
    </w:pPr>
  </w:style>
  <w:style w:type="paragraph" w:customStyle="1" w:styleId="bodybullet2">
    <w:name w:val="body_bullet2"/>
    <w:basedOn w:val="body"/>
    <w:next w:val="body"/>
    <w:autoRedefine/>
    <w:uiPriority w:val="99"/>
    <w:qFormat/>
    <w:rsid w:val="002D0ED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584">
      <w:bodyDiv w:val="1"/>
      <w:marLeft w:val="0"/>
      <w:marRight w:val="0"/>
      <w:marTop w:val="0"/>
      <w:marBottom w:val="0"/>
      <w:divBdr>
        <w:top w:val="none" w:sz="0" w:space="0" w:color="auto"/>
        <w:left w:val="none" w:sz="0" w:space="0" w:color="auto"/>
        <w:bottom w:val="none" w:sz="0" w:space="0" w:color="auto"/>
        <w:right w:val="none" w:sz="0" w:space="0" w:color="auto"/>
      </w:divBdr>
    </w:div>
    <w:div w:id="285695476">
      <w:bodyDiv w:val="1"/>
      <w:marLeft w:val="0"/>
      <w:marRight w:val="0"/>
      <w:marTop w:val="0"/>
      <w:marBottom w:val="0"/>
      <w:divBdr>
        <w:top w:val="none" w:sz="0" w:space="0" w:color="auto"/>
        <w:left w:val="none" w:sz="0" w:space="0" w:color="auto"/>
        <w:bottom w:val="none" w:sz="0" w:space="0" w:color="auto"/>
        <w:right w:val="none" w:sz="0" w:space="0" w:color="auto"/>
      </w:divBdr>
    </w:div>
    <w:div w:id="350838453">
      <w:bodyDiv w:val="1"/>
      <w:marLeft w:val="0"/>
      <w:marRight w:val="0"/>
      <w:marTop w:val="0"/>
      <w:marBottom w:val="0"/>
      <w:divBdr>
        <w:top w:val="none" w:sz="0" w:space="0" w:color="auto"/>
        <w:left w:val="none" w:sz="0" w:space="0" w:color="auto"/>
        <w:bottom w:val="none" w:sz="0" w:space="0" w:color="auto"/>
        <w:right w:val="none" w:sz="0" w:space="0" w:color="auto"/>
      </w:divBdr>
    </w:div>
    <w:div w:id="724452770">
      <w:bodyDiv w:val="1"/>
      <w:marLeft w:val="0"/>
      <w:marRight w:val="0"/>
      <w:marTop w:val="0"/>
      <w:marBottom w:val="0"/>
      <w:divBdr>
        <w:top w:val="none" w:sz="0" w:space="0" w:color="auto"/>
        <w:left w:val="none" w:sz="0" w:space="0" w:color="auto"/>
        <w:bottom w:val="none" w:sz="0" w:space="0" w:color="auto"/>
        <w:right w:val="none" w:sz="0" w:space="0" w:color="auto"/>
      </w:divBdr>
    </w:div>
    <w:div w:id="897858294">
      <w:bodyDiv w:val="1"/>
      <w:marLeft w:val="0"/>
      <w:marRight w:val="0"/>
      <w:marTop w:val="0"/>
      <w:marBottom w:val="0"/>
      <w:divBdr>
        <w:top w:val="none" w:sz="0" w:space="0" w:color="auto"/>
        <w:left w:val="none" w:sz="0" w:space="0" w:color="auto"/>
        <w:bottom w:val="none" w:sz="0" w:space="0" w:color="auto"/>
        <w:right w:val="none" w:sz="0" w:space="0" w:color="auto"/>
      </w:divBdr>
    </w:div>
    <w:div w:id="934484530">
      <w:bodyDiv w:val="1"/>
      <w:marLeft w:val="0"/>
      <w:marRight w:val="0"/>
      <w:marTop w:val="0"/>
      <w:marBottom w:val="0"/>
      <w:divBdr>
        <w:top w:val="none" w:sz="0" w:space="0" w:color="auto"/>
        <w:left w:val="none" w:sz="0" w:space="0" w:color="auto"/>
        <w:bottom w:val="none" w:sz="0" w:space="0" w:color="auto"/>
        <w:right w:val="none" w:sz="0" w:space="0" w:color="auto"/>
      </w:divBdr>
    </w:div>
    <w:div w:id="1288051394">
      <w:bodyDiv w:val="1"/>
      <w:marLeft w:val="0"/>
      <w:marRight w:val="0"/>
      <w:marTop w:val="0"/>
      <w:marBottom w:val="0"/>
      <w:divBdr>
        <w:top w:val="none" w:sz="0" w:space="0" w:color="auto"/>
        <w:left w:val="none" w:sz="0" w:space="0" w:color="auto"/>
        <w:bottom w:val="none" w:sz="0" w:space="0" w:color="auto"/>
        <w:right w:val="none" w:sz="0" w:space="0" w:color="auto"/>
      </w:divBdr>
    </w:div>
    <w:div w:id="1485009393">
      <w:bodyDiv w:val="1"/>
      <w:marLeft w:val="0"/>
      <w:marRight w:val="0"/>
      <w:marTop w:val="0"/>
      <w:marBottom w:val="0"/>
      <w:divBdr>
        <w:top w:val="none" w:sz="0" w:space="0" w:color="auto"/>
        <w:left w:val="none" w:sz="0" w:space="0" w:color="auto"/>
        <w:bottom w:val="none" w:sz="0" w:space="0" w:color="auto"/>
        <w:right w:val="none" w:sz="0" w:space="0" w:color="auto"/>
      </w:divBdr>
    </w:div>
    <w:div w:id="2061589494">
      <w:bodyDiv w:val="1"/>
      <w:marLeft w:val="0"/>
      <w:marRight w:val="0"/>
      <w:marTop w:val="0"/>
      <w:marBottom w:val="0"/>
      <w:divBdr>
        <w:top w:val="none" w:sz="0" w:space="0" w:color="auto"/>
        <w:left w:val="none" w:sz="0" w:space="0" w:color="auto"/>
        <w:bottom w:val="none" w:sz="0" w:space="0" w:color="auto"/>
        <w:right w:val="none" w:sz="0" w:space="0" w:color="auto"/>
      </w:divBdr>
    </w:div>
    <w:div w:id="21384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66A1-215A-4C1E-915B-370A4550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EF0C62-D7EC-4E9B-AE45-CC796DD408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B509C-1B8E-4404-9684-C6F90FF0A64F}">
  <ds:schemaRefs>
    <ds:schemaRef ds:uri="http://schemas.microsoft.com/sharepoint/v3/contenttype/forms"/>
  </ds:schemaRefs>
</ds:datastoreItem>
</file>

<file path=customXml/itemProps4.xml><?xml version="1.0" encoding="utf-8"?>
<ds:datastoreItem xmlns:ds="http://schemas.openxmlformats.org/officeDocument/2006/customXml" ds:itemID="{B5ED4190-D6DA-0245-9753-612FA866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1880</Words>
  <Characters>10344</Characters>
  <Application>Microsoft Macintosh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DEXIA</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Stefan (CANDRIAM)</dc:creator>
  <cp:lastModifiedBy>Michiel Rohlof</cp:lastModifiedBy>
  <cp:revision>2</cp:revision>
  <cp:lastPrinted>2017-06-30T13:25:00Z</cp:lastPrinted>
  <dcterms:created xsi:type="dcterms:W3CDTF">2017-07-10T08:01:00Z</dcterms:created>
  <dcterms:modified xsi:type="dcterms:W3CDTF">2017-07-10T08:01:00Z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1487326922</vt:i4>
  </property>
  <property fmtid="{D5CDD505-2E9C-101B-9397-08002B2CF9AE}" pid="3" name="_NewReviewCycle">
    <vt:lpwstr/>
  </property>
  <property fmtid="{D5CDD505-2E9C-101B-9397-08002B2CF9AE}" pid="4" name="_EmailSubject">
    <vt:lpwstr>Candriam Asset Allocation Outlook H2 2017 - Looking for stability</vt:lpwstr>
  </property>
  <property fmtid="{D5CDD505-2E9C-101B-9397-08002B2CF9AE}" pid="5" name="_AuthorEmail">
    <vt:lpwstr>isabelle.lievens@candriam.com</vt:lpwstr>
  </property>
  <property fmtid="{D5CDD505-2E9C-101B-9397-08002B2CF9AE}" pid="6" name="_AuthorEmailDisplayName">
    <vt:lpwstr>Lievens Isabelle (CANDRIAM)</vt:lpwstr>
  </property>
  <property fmtid="{D5CDD505-2E9C-101B-9397-08002B2CF9AE}" pid="7" name="_PreviousAdHocReviewCycleID">
    <vt:i4>-1551702642</vt:i4>
  </property>
</Properties>
</file>